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rFonts w:ascii="方正小标宋简体" w:eastAsia="方正小标宋简体"/>
          <w:sz w:val="36"/>
          <w:szCs w:val="36"/>
        </w:rPr>
      </w:pPr>
      <w:r>
        <w:rPr>
          <w:rFonts w:hint="eastAsia" w:ascii="黑体" w:hAnsi="黑体" w:eastAsia="黑体"/>
          <w:sz w:val="32"/>
          <w:szCs w:val="32"/>
        </w:rPr>
        <w:t>附件</w:t>
      </w:r>
      <w:r>
        <w:rPr>
          <w:rFonts w:hint="eastAsia" w:ascii="黑体" w:hAnsi="黑体" w:eastAsia="黑体"/>
          <w:sz w:val="32"/>
          <w:szCs w:val="32"/>
          <w:lang w:val="en-US" w:eastAsia="zh-CN"/>
        </w:rPr>
        <w:t>1</w:t>
      </w:r>
    </w:p>
    <w:p>
      <w:pPr>
        <w:spacing w:line="560" w:lineRule="exact"/>
        <w:jc w:val="center"/>
        <w:rPr>
          <w:rFonts w:ascii="方正小标宋简体" w:eastAsia="方正小标宋简体"/>
          <w:sz w:val="36"/>
          <w:szCs w:val="36"/>
        </w:rPr>
      </w:pPr>
      <w:r>
        <w:rPr>
          <w:rFonts w:hint="eastAsia" w:ascii="方正小标宋简体" w:eastAsia="方正小标宋简体"/>
          <w:sz w:val="36"/>
          <w:szCs w:val="36"/>
        </w:rPr>
        <w:t>部门整体绩效评价报告</w:t>
      </w:r>
    </w:p>
    <w:p>
      <w:pPr>
        <w:jc w:val="center"/>
        <w:rPr>
          <w:rFonts w:ascii="仿宋_GB2312"/>
          <w:szCs w:val="30"/>
        </w:rPr>
      </w:pPr>
    </w:p>
    <w:p>
      <w:pPr>
        <w:spacing w:line="600" w:lineRule="exact"/>
        <w:ind w:firstLine="640" w:firstLineChars="200"/>
        <w:rPr>
          <w:rFonts w:ascii="黑体" w:hAnsi="黑体" w:eastAsia="黑体" w:cs="宋体"/>
          <w:color w:val="000000"/>
          <w:kern w:val="0"/>
          <w:sz w:val="32"/>
          <w:szCs w:val="32"/>
        </w:rPr>
      </w:pPr>
      <w:r>
        <w:rPr>
          <w:rFonts w:hint="eastAsia" w:ascii="黑体" w:hAnsi="黑体" w:eastAsia="黑体" w:cs="宋体"/>
          <w:color w:val="000000"/>
          <w:kern w:val="0"/>
          <w:sz w:val="32"/>
          <w:szCs w:val="32"/>
        </w:rPr>
        <w:t>一、部门概况</w:t>
      </w:r>
    </w:p>
    <w:p>
      <w:pPr>
        <w:spacing w:line="600" w:lineRule="exact"/>
        <w:ind w:firstLine="640" w:firstLineChars="200"/>
        <w:rPr>
          <w:rFonts w:ascii="楷体_GB2312" w:eastAsia="楷体_GB2312"/>
          <w:sz w:val="32"/>
          <w:szCs w:val="32"/>
        </w:rPr>
      </w:pPr>
      <w:r>
        <w:rPr>
          <w:rFonts w:hint="eastAsia" w:ascii="楷体_GB2312" w:eastAsia="楷体_GB2312"/>
          <w:sz w:val="32"/>
          <w:szCs w:val="32"/>
        </w:rPr>
        <w:t>（一）机构设置及职责工作任务情况</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中共北京市朝阳区委党校是在区委直接领导下培养党员领导干部和理论干</w:t>
      </w:r>
      <w:bookmarkStart w:id="0" w:name="_GoBack"/>
      <w:bookmarkEnd w:id="0"/>
      <w:r>
        <w:rPr>
          <w:rFonts w:hint="eastAsia" w:ascii="仿宋_GB2312" w:hAnsi="仿宋_GB2312" w:eastAsia="仿宋_GB2312" w:cs="仿宋_GB2312"/>
          <w:sz w:val="32"/>
          <w:szCs w:val="32"/>
        </w:rPr>
        <w:t>部的学校，是区委的重要部门，是公益一类事业单位。</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共北京市朝阳区委党校内设十三个科室，分别是综合办公室、党群办公室、教务办公室、干部培训一科、干部培训二科、分校办公室、社会主义学院工作办公室、党建教研室、综合教研室、马克思主义理论教研室、科研办公室、财务办公室，信息管理与交流办公室。</w:t>
      </w:r>
    </w:p>
    <w:p>
      <w:pPr>
        <w:spacing w:line="600" w:lineRule="exact"/>
        <w:ind w:firstLine="640" w:firstLineChars="200"/>
        <w:rPr>
          <w:rFonts w:hint="eastAsia" w:ascii="楷体_GB2312" w:eastAsia="楷体_GB2312"/>
          <w:sz w:val="32"/>
          <w:szCs w:val="32"/>
        </w:rPr>
      </w:pPr>
      <w:r>
        <w:rPr>
          <w:rFonts w:hint="eastAsia" w:ascii="仿宋_GB2312" w:hAnsi="仿宋_GB2312" w:eastAsia="仿宋_GB2312" w:cs="仿宋_GB2312"/>
          <w:sz w:val="32"/>
          <w:szCs w:val="32"/>
        </w:rPr>
        <w:t>中共北京市朝阳区委党校主要职责是紧紧围绕党的路线方针政策和全区发展大局，落实《中国共产党党校(行政学院)工作条例》《社会主义学院工作条例》总体要求，负责全区党员领导干部、中青年后备干部、统战系统干部、民主党派、无党派人士等的培训、轮训工作；围绕我区经济社会发展中的重点、难点和热点问题，举办专题研讨班；围绕新情况新问题，开展科学研究，培养理论干部，加强理论宣传。</w:t>
      </w:r>
      <w:r>
        <w:rPr>
          <w:rFonts w:hint="eastAsia" w:ascii="楷体_GB2312" w:eastAsia="楷体_GB2312"/>
          <w:sz w:val="32"/>
          <w:szCs w:val="32"/>
        </w:rPr>
        <w:t>（二）部门整体绩效目标设立情况。</w:t>
      </w:r>
    </w:p>
    <w:p>
      <w:pPr>
        <w:spacing w:line="600" w:lineRule="exact"/>
        <w:ind w:firstLine="640" w:firstLineChars="200"/>
        <w:rPr>
          <w:rFonts w:hint="eastAsia" w:ascii="楷体_GB2312" w:eastAsia="楷体_GB2312"/>
          <w:sz w:val="32"/>
          <w:szCs w:val="32"/>
        </w:rPr>
      </w:pP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度部门整体绩效目标的设立依据，主要包括区财政局关于绩效管理的相关要求，围绕部门职责，以及当年的主要工作任务，以预算资金为主线，统筹考虑业务活动和年度预算安排等情况，通过设置一系列反映工作职责的关键性指标，衡量部门整体及核心业务实施效果。部门整体绩效目标设置与部门职能定位相符，部门整体绩效目标对</w:t>
      </w: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年度计划重点工作内容体现较为准确、全面。</w:t>
      </w:r>
    </w:p>
    <w:p>
      <w:pPr>
        <w:spacing w:line="600" w:lineRule="exact"/>
        <w:ind w:firstLine="640" w:firstLineChars="200"/>
        <w:rPr>
          <w:rFonts w:ascii="黑体" w:hAnsi="黑体" w:eastAsia="黑体" w:cs="宋体"/>
          <w:color w:val="000000"/>
          <w:kern w:val="0"/>
          <w:sz w:val="32"/>
          <w:szCs w:val="32"/>
        </w:rPr>
      </w:pPr>
      <w:r>
        <w:rPr>
          <w:rFonts w:hint="eastAsia" w:ascii="黑体" w:hAnsi="黑体" w:eastAsia="黑体" w:cs="宋体"/>
          <w:color w:val="000000"/>
          <w:kern w:val="0"/>
          <w:sz w:val="32"/>
          <w:szCs w:val="32"/>
        </w:rPr>
        <w:t>二</w:t>
      </w:r>
      <w:r>
        <w:rPr>
          <w:rFonts w:ascii="黑体" w:hAnsi="黑体" w:eastAsia="黑体" w:cs="宋体"/>
          <w:color w:val="000000"/>
          <w:kern w:val="0"/>
          <w:sz w:val="32"/>
          <w:szCs w:val="32"/>
        </w:rPr>
        <w:t>、</w:t>
      </w:r>
      <w:r>
        <w:rPr>
          <w:rFonts w:hint="eastAsia" w:ascii="黑体" w:hAnsi="黑体" w:eastAsia="黑体" w:cs="宋体"/>
          <w:color w:val="000000"/>
          <w:kern w:val="0"/>
          <w:sz w:val="32"/>
          <w:szCs w:val="32"/>
        </w:rPr>
        <w:t>当年</w:t>
      </w:r>
      <w:r>
        <w:rPr>
          <w:rFonts w:ascii="黑体" w:hAnsi="黑体" w:eastAsia="黑体" w:cs="宋体"/>
          <w:color w:val="000000"/>
          <w:kern w:val="0"/>
          <w:sz w:val="32"/>
          <w:szCs w:val="32"/>
        </w:rPr>
        <w:t>预算执行情况</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年全年预算数</w:t>
      </w:r>
      <w:r>
        <w:rPr>
          <w:rFonts w:hint="eastAsia" w:ascii="仿宋_GB2312" w:hAnsi="仿宋" w:eastAsia="仿宋_GB2312"/>
          <w:sz w:val="32"/>
          <w:szCs w:val="32"/>
          <w:highlight w:val="none"/>
          <w:u w:val="none"/>
        </w:rPr>
        <w:t>6765.01</w:t>
      </w:r>
      <w:r>
        <w:rPr>
          <w:rFonts w:hint="eastAsia" w:ascii="仿宋_GB2312" w:hAnsi="仿宋_GB2312" w:eastAsia="仿宋_GB2312" w:cs="仿宋_GB2312"/>
          <w:sz w:val="32"/>
          <w:szCs w:val="32"/>
        </w:rPr>
        <w:t>万元，其中，基本支出预算数</w:t>
      </w:r>
      <w:r>
        <w:rPr>
          <w:rFonts w:hint="eastAsia" w:ascii="仿宋_GB2312" w:hAnsi="仿宋_GB2312" w:eastAsia="仿宋_GB2312" w:cs="仿宋_GB2312"/>
          <w:sz w:val="32"/>
          <w:szCs w:val="32"/>
          <w:lang w:val="en-US" w:eastAsia="zh-CN"/>
        </w:rPr>
        <w:t>2810.71</w:t>
      </w:r>
      <w:r>
        <w:rPr>
          <w:rFonts w:hint="eastAsia" w:ascii="仿宋_GB2312" w:hAnsi="仿宋_GB2312" w:eastAsia="仿宋_GB2312" w:cs="仿宋_GB2312"/>
          <w:sz w:val="32"/>
          <w:szCs w:val="32"/>
        </w:rPr>
        <w:t>万元，项目支出预算数</w:t>
      </w:r>
      <w:r>
        <w:rPr>
          <w:rFonts w:hint="eastAsia" w:ascii="仿宋_GB2312" w:hAnsi="仿宋" w:eastAsia="仿宋_GB2312"/>
          <w:sz w:val="32"/>
          <w:szCs w:val="32"/>
          <w:highlight w:val="none"/>
          <w:u w:val="none"/>
        </w:rPr>
        <w:t>3954.29</w:t>
      </w:r>
      <w:r>
        <w:rPr>
          <w:rFonts w:hint="eastAsia" w:ascii="仿宋_GB2312" w:hAnsi="仿宋_GB2312" w:eastAsia="仿宋_GB2312" w:cs="仿宋_GB2312"/>
          <w:sz w:val="32"/>
          <w:szCs w:val="32"/>
        </w:rPr>
        <w:t>万元。资金总体支出</w:t>
      </w:r>
      <w:r>
        <w:rPr>
          <w:rFonts w:hint="eastAsia" w:ascii="仿宋_GB2312" w:hAnsi="仿宋" w:eastAsia="仿宋_GB2312"/>
          <w:sz w:val="32"/>
          <w:szCs w:val="32"/>
          <w:highlight w:val="none"/>
          <w:u w:val="none"/>
        </w:rPr>
        <w:t>6765.01</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2810.71</w:t>
      </w:r>
      <w:r>
        <w:rPr>
          <w:rFonts w:hint="eastAsia" w:ascii="仿宋_GB2312" w:hAnsi="仿宋_GB2312" w:eastAsia="仿宋_GB2312" w:cs="仿宋_GB2312"/>
          <w:sz w:val="32"/>
          <w:szCs w:val="32"/>
        </w:rPr>
        <w:t>万元，项目支出</w:t>
      </w:r>
      <w:r>
        <w:rPr>
          <w:rFonts w:hint="eastAsia" w:ascii="仿宋_GB2312" w:hAnsi="仿宋" w:eastAsia="仿宋_GB2312"/>
          <w:sz w:val="32"/>
          <w:szCs w:val="32"/>
          <w:highlight w:val="none"/>
          <w:u w:val="none"/>
        </w:rPr>
        <w:t>3954.29</w:t>
      </w:r>
      <w:r>
        <w:rPr>
          <w:rFonts w:hint="eastAsia" w:ascii="仿宋_GB2312" w:hAnsi="仿宋_GB2312" w:eastAsia="仿宋_GB2312" w:cs="仿宋_GB2312"/>
          <w:sz w:val="32"/>
          <w:szCs w:val="32"/>
        </w:rPr>
        <w:t>万元。预算执行率为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spacing w:line="600" w:lineRule="exact"/>
        <w:ind w:left="105" w:leftChars="50" w:firstLine="480" w:firstLineChars="150"/>
        <w:rPr>
          <w:rFonts w:ascii="黑体" w:hAnsi="黑体" w:eastAsia="黑体" w:cs="宋体"/>
          <w:color w:val="000000"/>
          <w:kern w:val="0"/>
          <w:sz w:val="32"/>
          <w:szCs w:val="32"/>
        </w:rPr>
      </w:pPr>
      <w:r>
        <w:rPr>
          <w:rFonts w:hint="eastAsia" w:ascii="黑体" w:hAnsi="黑体" w:eastAsia="黑体" w:cs="宋体"/>
          <w:color w:val="000000"/>
          <w:kern w:val="0"/>
          <w:sz w:val="32"/>
          <w:szCs w:val="32"/>
        </w:rPr>
        <w:t>三</w:t>
      </w:r>
      <w:r>
        <w:rPr>
          <w:rFonts w:ascii="黑体" w:hAnsi="黑体" w:eastAsia="黑体" w:cs="宋体"/>
          <w:color w:val="000000"/>
          <w:kern w:val="0"/>
          <w:sz w:val="32"/>
          <w:szCs w:val="32"/>
        </w:rPr>
        <w:t>、整体绩效目标实现情况</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（一）产出完成情况分析</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1.产出数量</w:t>
      </w:r>
    </w:p>
    <w:p>
      <w:pPr>
        <w:spacing w:line="600" w:lineRule="exact"/>
        <w:ind w:left="105" w:leftChars="50" w:firstLine="480" w:firstLineChars="15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各项项目的工作任务均基本完成，产出数量总体上符合整体绩效目标要求。</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2.产出</w:t>
      </w:r>
      <w:r>
        <w:rPr>
          <w:rFonts w:ascii="仿宋_GB2312" w:hAnsi="宋体" w:eastAsia="仿宋_GB2312" w:cs="宋体"/>
          <w:color w:val="000000"/>
          <w:kern w:val="0"/>
          <w:sz w:val="32"/>
          <w:szCs w:val="32"/>
        </w:rPr>
        <w:t>质量</w:t>
      </w:r>
    </w:p>
    <w:p>
      <w:pPr>
        <w:spacing w:line="600" w:lineRule="exact"/>
        <w:ind w:left="105" w:leftChars="50" w:firstLine="480" w:firstLineChars="15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我单位是全额财政拨款实行预算单位管理体制，有支出必有预算，没有预算不予支出。通过预算绩效管理这一有效的手段，全校从上至下的规范意识进一步增强，产出质量符合整体绩效目标要求。</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3.产出</w:t>
      </w:r>
      <w:r>
        <w:rPr>
          <w:rFonts w:ascii="仿宋_GB2312" w:hAnsi="宋体" w:eastAsia="仿宋_GB2312" w:cs="宋体"/>
          <w:color w:val="000000"/>
          <w:kern w:val="0"/>
          <w:sz w:val="32"/>
          <w:szCs w:val="32"/>
        </w:rPr>
        <w:t>进度</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各个项目按照进度计划开展工作任务，并且能够及时根据工作变化，做出经费预算调整，支出进度与工作进度相匹配，此外，区委党校制定了预算执行进度监督相关细则，按季度汇总各部门的预算进度情况并通报。</w:t>
      </w:r>
    </w:p>
    <w:p>
      <w:pPr>
        <w:spacing w:line="600" w:lineRule="exact"/>
        <w:ind w:left="105" w:leftChars="50" w:firstLine="480" w:firstLineChars="150"/>
        <w:rPr>
          <w:rFonts w:hint="eastAsia" w:ascii="仿宋_GB2312" w:hAnsi="宋体" w:eastAsia="仿宋_GB2312" w:cs="宋体"/>
          <w:color w:val="000000"/>
          <w:kern w:val="0"/>
          <w:sz w:val="32"/>
          <w:szCs w:val="32"/>
        </w:rPr>
      </w:pPr>
      <w:r>
        <w:rPr>
          <w:rFonts w:ascii="仿宋_GB2312" w:hAnsi="宋体" w:eastAsia="仿宋_GB2312" w:cs="宋体"/>
          <w:color w:val="000000"/>
          <w:kern w:val="0"/>
          <w:sz w:val="32"/>
          <w:szCs w:val="32"/>
        </w:rPr>
        <w:t>4.</w:t>
      </w:r>
      <w:r>
        <w:rPr>
          <w:rFonts w:hint="eastAsia" w:ascii="仿宋_GB2312" w:hAnsi="宋体" w:eastAsia="仿宋_GB2312" w:cs="宋体"/>
          <w:color w:val="000000"/>
          <w:kern w:val="0"/>
          <w:sz w:val="32"/>
          <w:szCs w:val="32"/>
        </w:rPr>
        <w:t>产出</w:t>
      </w:r>
      <w:r>
        <w:rPr>
          <w:rFonts w:ascii="仿宋_GB2312" w:hAnsi="宋体" w:eastAsia="仿宋_GB2312" w:cs="宋体"/>
          <w:color w:val="000000"/>
          <w:kern w:val="0"/>
          <w:sz w:val="32"/>
          <w:szCs w:val="32"/>
        </w:rPr>
        <w:t>成本</w:t>
      </w:r>
    </w:p>
    <w:p>
      <w:pPr>
        <w:spacing w:line="600" w:lineRule="exact"/>
        <w:ind w:left="105" w:leftChars="50" w:firstLine="480" w:firstLineChars="15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严格执行相关财务管理制度，各项支出有明确支出标准的严格按照支出标准执行，避免超预算支出。保证对资金的有效管理，提前做好用款计划、按时申请、支出等各个环节，并坚持灵活运用原则，确保在规范的前提下，合理使用项目资金，有效降低产出成本，充分发挥提质增效作用。</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（二）效果</w:t>
      </w:r>
      <w:r>
        <w:rPr>
          <w:rFonts w:ascii="楷体_GB2312" w:eastAsia="楷体_GB2312"/>
          <w:sz w:val="32"/>
          <w:szCs w:val="32"/>
        </w:rPr>
        <w:t>实现情况分析</w:t>
      </w:r>
    </w:p>
    <w:p>
      <w:pPr>
        <w:spacing w:line="600" w:lineRule="exact"/>
        <w:ind w:left="105" w:leftChars="50" w:firstLine="480" w:firstLineChars="15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1</w:t>
      </w:r>
      <w:r>
        <w:rPr>
          <w:rFonts w:hint="eastAsia" w:ascii="仿宋_GB2312" w:hAnsi="宋体" w:eastAsia="仿宋_GB2312" w:cs="宋体"/>
          <w:color w:val="000000"/>
          <w:kern w:val="0"/>
          <w:sz w:val="32"/>
          <w:szCs w:val="32"/>
        </w:rPr>
        <w:t>.社会效益</w:t>
      </w:r>
    </w:p>
    <w:p>
      <w:pPr>
        <w:spacing w:line="600" w:lineRule="exact"/>
        <w:ind w:left="105" w:leftChars="50" w:firstLine="480" w:firstLineChars="15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围绕我区经济社会发展中的重点、难点和热点问题，举办专题研讨班，为领导科学决策提供信息参考。围绕新情况新问题，开展科学研究，坚持问题导向，紧贴决策需求，强化统筹指导。</w:t>
      </w:r>
    </w:p>
    <w:p>
      <w:pPr>
        <w:spacing w:line="600" w:lineRule="exact"/>
        <w:ind w:left="105" w:leftChars="50" w:firstLine="480" w:firstLineChars="15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2</w:t>
      </w:r>
      <w:r>
        <w:rPr>
          <w:rFonts w:hint="eastAsia" w:ascii="仿宋_GB2312" w:hAnsi="宋体" w:eastAsia="仿宋_GB2312" w:cs="宋体"/>
          <w:color w:val="000000"/>
          <w:kern w:val="0"/>
          <w:sz w:val="32"/>
          <w:szCs w:val="32"/>
        </w:rPr>
        <w:t>.服务对象满意度</w:t>
      </w:r>
    </w:p>
    <w:p>
      <w:pPr>
        <w:spacing w:line="600" w:lineRule="exact"/>
        <w:ind w:left="105" w:leftChars="50" w:firstLine="480" w:firstLineChars="150"/>
        <w:rPr>
          <w:rFonts w:hint="eastAsia" w:ascii="仿宋_GB2312" w:hAnsi="宋体" w:eastAsia="仿宋_GB2312" w:cs="宋体"/>
          <w:color w:val="0000FF"/>
          <w:kern w:val="0"/>
          <w:sz w:val="32"/>
          <w:szCs w:val="32"/>
        </w:rPr>
      </w:pPr>
      <w:r>
        <w:rPr>
          <w:rFonts w:hint="eastAsia" w:ascii="仿宋_GB2312" w:hAnsi="宋体" w:eastAsia="仿宋_GB2312" w:cs="宋体"/>
          <w:color w:val="000000"/>
          <w:kern w:val="0"/>
          <w:sz w:val="32"/>
          <w:szCs w:val="32"/>
        </w:rPr>
        <w:t>区委党校积极开展各类培训，通过各培训班次，带领学员深入学习贯彻习近平新时代中国特色社会主义思想，学习贯彻党的十九大、二十大精神以及习近平总书记最新讲话精神和重要指示等相关内容，从学员反馈结果来看，满意度较高。</w:t>
      </w:r>
    </w:p>
    <w:p>
      <w:pPr>
        <w:spacing w:line="600" w:lineRule="exact"/>
        <w:ind w:left="105" w:leftChars="50" w:firstLine="480" w:firstLineChars="150"/>
        <w:rPr>
          <w:rFonts w:ascii="黑体" w:hAnsi="黑体" w:eastAsia="黑体" w:cs="宋体"/>
          <w:color w:val="000000"/>
          <w:kern w:val="0"/>
          <w:sz w:val="32"/>
          <w:szCs w:val="32"/>
        </w:rPr>
      </w:pPr>
      <w:r>
        <w:rPr>
          <w:rFonts w:hint="eastAsia" w:ascii="黑体" w:hAnsi="黑体" w:eastAsia="黑体" w:cs="宋体"/>
          <w:color w:val="000000"/>
          <w:kern w:val="0"/>
          <w:sz w:val="32"/>
          <w:szCs w:val="32"/>
        </w:rPr>
        <w:t>四</w:t>
      </w:r>
      <w:r>
        <w:rPr>
          <w:rFonts w:ascii="黑体" w:hAnsi="黑体" w:eastAsia="黑体" w:cs="宋体"/>
          <w:color w:val="000000"/>
          <w:kern w:val="0"/>
          <w:sz w:val="32"/>
          <w:szCs w:val="32"/>
        </w:rPr>
        <w:t>、预算管理</w:t>
      </w:r>
      <w:r>
        <w:rPr>
          <w:rFonts w:hint="eastAsia" w:ascii="黑体" w:hAnsi="黑体" w:eastAsia="黑体" w:cs="宋体"/>
          <w:color w:val="000000"/>
          <w:kern w:val="0"/>
          <w:sz w:val="32"/>
          <w:szCs w:val="32"/>
        </w:rPr>
        <w:t>情况分</w:t>
      </w:r>
      <w:r>
        <w:rPr>
          <w:rFonts w:ascii="黑体" w:hAnsi="黑体" w:eastAsia="黑体" w:cs="宋体"/>
          <w:color w:val="000000"/>
          <w:kern w:val="0"/>
          <w:sz w:val="32"/>
          <w:szCs w:val="32"/>
        </w:rPr>
        <w:t>析</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（一）财务管理</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1.财务</w:t>
      </w:r>
      <w:r>
        <w:rPr>
          <w:rFonts w:ascii="仿宋_GB2312" w:hAnsi="宋体" w:eastAsia="仿宋_GB2312" w:cs="宋体"/>
          <w:color w:val="000000"/>
          <w:kern w:val="0"/>
          <w:sz w:val="32"/>
          <w:szCs w:val="32"/>
        </w:rPr>
        <w:t>管理制度健全性</w:t>
      </w:r>
    </w:p>
    <w:p>
      <w:pPr>
        <w:spacing w:line="600" w:lineRule="exact"/>
        <w:ind w:left="105" w:leftChars="50" w:firstLine="480" w:firstLineChars="15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eastAsia="zh-CN"/>
        </w:rPr>
        <w:t>2024</w:t>
      </w:r>
      <w:r>
        <w:rPr>
          <w:rFonts w:hint="eastAsia" w:ascii="仿宋_GB2312" w:hAnsi="宋体" w:eastAsia="仿宋_GB2312" w:cs="宋体"/>
          <w:color w:val="000000"/>
          <w:kern w:val="0"/>
          <w:sz w:val="32"/>
          <w:szCs w:val="32"/>
        </w:rPr>
        <w:t>年度我们按照北京市财政局对内控的六大指标体系对党校工作组织、机制建设、制度完善、关键岗位、财务信息编报、信息系统建设、预算、收支、政府采购、资产管理、合同等业务的流程、内部监督等方面进行梳理，完善了内控手册。对内控手册中规定的内容进行逐项培训，严格执行各项制度。</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2.资金使用合规性</w:t>
      </w:r>
      <w:r>
        <w:rPr>
          <w:rFonts w:ascii="仿宋_GB2312" w:hAnsi="宋体" w:eastAsia="仿宋_GB2312" w:cs="宋体"/>
          <w:color w:val="000000"/>
          <w:kern w:val="0"/>
          <w:sz w:val="32"/>
          <w:szCs w:val="32"/>
        </w:rPr>
        <w:t>和安全性</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部门预算经批准后，区委党校对按照区财政局批复的项目预算在单位内部进行指标分解、审批下达，认真遵守政府采购、资产管理、合同管理、绩效管理等财政财务管理相关规定。区委党校制定了《中共北京市朝阳区委党校内部控制手册》，在资金使用和管理上，严格遵守财经纪律和各项财务管理制度规定。加强对资金使用的监管，重视财政资金使用的绩效评价。项目资金严格实行专款专用、单独核算，严禁截留、挪用和超批复内容使用资金，确保预算执行更加顺畅、监督体系更加完善，使各项开支合规、合法。</w:t>
      </w:r>
    </w:p>
    <w:p>
      <w:pPr>
        <w:spacing w:line="600" w:lineRule="exact"/>
        <w:ind w:left="105" w:leftChars="50" w:firstLine="480" w:firstLineChars="150"/>
        <w:rPr>
          <w:rFonts w:ascii="仿宋_GB2312" w:hAnsi="宋体" w:eastAsia="仿宋_GB2312" w:cs="宋体"/>
          <w:color w:val="000000"/>
          <w:kern w:val="0"/>
          <w:sz w:val="32"/>
          <w:szCs w:val="32"/>
        </w:rPr>
      </w:pPr>
      <w:r>
        <w:rPr>
          <w:rFonts w:ascii="仿宋_GB2312" w:hAnsi="宋体" w:eastAsia="仿宋_GB2312" w:cs="宋体"/>
          <w:color w:val="000000"/>
          <w:kern w:val="0"/>
          <w:sz w:val="32"/>
          <w:szCs w:val="32"/>
        </w:rPr>
        <w:t>3.</w:t>
      </w:r>
      <w:r>
        <w:rPr>
          <w:rFonts w:hint="eastAsia" w:ascii="仿宋_GB2312" w:hAnsi="宋体" w:eastAsia="仿宋_GB2312" w:cs="宋体"/>
          <w:color w:val="000000"/>
          <w:kern w:val="0"/>
          <w:sz w:val="32"/>
          <w:szCs w:val="32"/>
        </w:rPr>
        <w:t>会计</w:t>
      </w:r>
      <w:r>
        <w:rPr>
          <w:rFonts w:ascii="仿宋_GB2312" w:hAnsi="宋体" w:eastAsia="仿宋_GB2312" w:cs="宋体"/>
          <w:color w:val="000000"/>
          <w:kern w:val="0"/>
          <w:sz w:val="32"/>
          <w:szCs w:val="32"/>
        </w:rPr>
        <w:t>基础信息完善性</w:t>
      </w:r>
    </w:p>
    <w:p>
      <w:pPr>
        <w:spacing w:line="600" w:lineRule="exact"/>
        <w:ind w:left="105" w:leftChars="50" w:firstLine="480" w:firstLineChars="15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区委党校严格执行政府会计准则和政府会计制度规定，规范使用会计科目，进行日常会计核算，编制财务会计报表和部门决算报表，会计基础信息规范性较强。</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（二）资产管理</w:t>
      </w:r>
    </w:p>
    <w:p>
      <w:pPr>
        <w:spacing w:line="600" w:lineRule="exact"/>
        <w:ind w:left="105" w:leftChars="50" w:firstLine="480" w:firstLineChars="15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为加强区委党校固定资产管理，合理配备、规范固定资产的使用，根据朝阳区《行政事业单位国有资产管理等相关制度的通知》精神和要求,制定《中共北京市朝阳区委党校固定资产管理办法》，对固定资产应当定期或不定期进行清查盘点，年度终了前应当进行全面清查盘点，做到账、卡、物相符。对固定资产的盘盈、盘亏应当按规定程序及时处理。</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（三）绩效</w:t>
      </w:r>
      <w:r>
        <w:rPr>
          <w:rFonts w:ascii="楷体_GB2312" w:eastAsia="楷体_GB2312"/>
          <w:sz w:val="32"/>
          <w:szCs w:val="32"/>
        </w:rPr>
        <w:t>管理</w:t>
      </w:r>
    </w:p>
    <w:p>
      <w:pPr>
        <w:spacing w:line="600" w:lineRule="exact"/>
        <w:ind w:left="105" w:leftChars="50" w:firstLine="480" w:firstLineChars="15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按照《北京市朝阳区全面实施预算绩效管理实施方案》，进一步加强我校预算绩效管理，提高财政资金使用效益，结合我校实际，制定《朝阳区委党校全面实施预算绩效管理实施方案》，建立健全工作机制，突出预算绩效管理，提高资金使用效益。</w:t>
      </w:r>
    </w:p>
    <w:p>
      <w:pPr>
        <w:spacing w:line="600" w:lineRule="exact"/>
        <w:ind w:left="105" w:leftChars="50" w:firstLine="480" w:firstLineChars="15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我单位</w:t>
      </w:r>
      <w:r>
        <w:rPr>
          <w:rFonts w:hint="eastAsia" w:ascii="仿宋_GB2312" w:hAnsi="宋体" w:eastAsia="仿宋_GB2312" w:cs="宋体"/>
          <w:color w:val="000000"/>
          <w:kern w:val="0"/>
          <w:sz w:val="32"/>
          <w:szCs w:val="32"/>
        </w:rPr>
        <w:t>成立财政支出绩效管理工作领导小组，常务副校长担任组长，班子成员为副组长，各部门负责人为领导小组成员，领导小组下设办公室，办公室设在财务办公室，分管财务的校领导兼任办公室主任，负责组织协调全校的财政支出，对绩效进行监督跟踪。</w:t>
      </w:r>
    </w:p>
    <w:p>
      <w:pPr>
        <w:spacing w:line="600" w:lineRule="exact"/>
        <w:ind w:left="105" w:leftChars="50" w:firstLine="480" w:firstLineChars="15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明确职责分工，将预算的项目支出按照各部门的岗位职责分配具体工作，列出全年的项目进度。责任到具体负责人，按照工作进展追踪实施情况。</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（四）结转结余率</w:t>
      </w:r>
    </w:p>
    <w:p>
      <w:pPr>
        <w:spacing w:line="600" w:lineRule="exact"/>
        <w:ind w:left="105" w:leftChars="50" w:firstLine="480" w:firstLineChars="15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区委党校</w:t>
      </w:r>
      <w:r>
        <w:rPr>
          <w:rFonts w:hint="eastAsia" w:ascii="仿宋_GB2312" w:hAnsi="宋体" w:eastAsia="仿宋_GB2312" w:cs="宋体"/>
          <w:color w:val="000000"/>
          <w:kern w:val="0"/>
          <w:sz w:val="32"/>
          <w:szCs w:val="32"/>
          <w:lang w:eastAsia="zh-CN"/>
        </w:rPr>
        <w:t>2024</w:t>
      </w:r>
      <w:r>
        <w:rPr>
          <w:rFonts w:hint="eastAsia" w:ascii="仿宋_GB2312" w:hAnsi="宋体" w:eastAsia="仿宋_GB2312" w:cs="宋体"/>
          <w:color w:val="000000"/>
          <w:kern w:val="0"/>
          <w:sz w:val="32"/>
          <w:szCs w:val="32"/>
        </w:rPr>
        <w:t>年决算收入</w:t>
      </w:r>
      <w:r>
        <w:rPr>
          <w:rFonts w:hint="eastAsia" w:ascii="仿宋_GB2312" w:hAnsi="仿宋" w:eastAsia="仿宋_GB2312"/>
          <w:sz w:val="32"/>
          <w:szCs w:val="32"/>
          <w:highlight w:val="none"/>
          <w:u w:val="none"/>
        </w:rPr>
        <w:t>6765.01</w:t>
      </w:r>
      <w:r>
        <w:rPr>
          <w:rFonts w:hint="eastAsia" w:ascii="仿宋_GB2312" w:hAnsi="宋体" w:eastAsia="仿宋_GB2312" w:cs="宋体"/>
          <w:color w:val="000000"/>
          <w:kern w:val="0"/>
          <w:sz w:val="32"/>
          <w:szCs w:val="32"/>
        </w:rPr>
        <w:t>万元，实际支出</w:t>
      </w:r>
      <w:r>
        <w:rPr>
          <w:rFonts w:hint="eastAsia" w:ascii="仿宋_GB2312" w:hAnsi="仿宋" w:eastAsia="仿宋_GB2312"/>
          <w:sz w:val="32"/>
          <w:szCs w:val="32"/>
          <w:highlight w:val="none"/>
          <w:u w:val="none"/>
        </w:rPr>
        <w:t>6765.01</w:t>
      </w:r>
      <w:r>
        <w:rPr>
          <w:rFonts w:hint="eastAsia" w:ascii="仿宋_GB2312" w:hAnsi="宋体" w:eastAsia="仿宋_GB2312" w:cs="宋体"/>
          <w:color w:val="000000"/>
          <w:kern w:val="0"/>
          <w:sz w:val="32"/>
          <w:szCs w:val="32"/>
        </w:rPr>
        <w:t>万元，结转结余0万元，结转结余率0%。</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（五）部门</w:t>
      </w:r>
      <w:r>
        <w:rPr>
          <w:rFonts w:ascii="楷体_GB2312" w:eastAsia="楷体_GB2312"/>
          <w:sz w:val="32"/>
          <w:szCs w:val="32"/>
        </w:rPr>
        <w:t>预决算差异率</w:t>
      </w:r>
    </w:p>
    <w:p>
      <w:pPr>
        <w:spacing w:line="600" w:lineRule="exact"/>
        <w:ind w:left="105" w:leftChars="50" w:firstLine="480" w:firstLineChars="15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区委党校</w:t>
      </w:r>
      <w:r>
        <w:rPr>
          <w:rFonts w:hint="eastAsia" w:ascii="仿宋_GB2312" w:hAnsi="宋体" w:eastAsia="仿宋_GB2312" w:cs="宋体"/>
          <w:color w:val="000000"/>
          <w:kern w:val="0"/>
          <w:sz w:val="32"/>
          <w:szCs w:val="32"/>
          <w:lang w:eastAsia="zh-CN"/>
        </w:rPr>
        <w:t>2024</w:t>
      </w:r>
      <w:r>
        <w:rPr>
          <w:rFonts w:hint="eastAsia" w:ascii="仿宋_GB2312" w:hAnsi="宋体" w:eastAsia="仿宋_GB2312" w:cs="宋体"/>
          <w:color w:val="000000"/>
          <w:kern w:val="0"/>
          <w:sz w:val="32"/>
          <w:szCs w:val="32"/>
        </w:rPr>
        <w:t>年初预算数</w:t>
      </w:r>
      <w:r>
        <w:rPr>
          <w:rFonts w:hint="eastAsia" w:ascii="仿宋_GB2312" w:hAnsi="宋体" w:eastAsia="仿宋_GB2312" w:cs="宋体"/>
          <w:color w:val="000000"/>
          <w:kern w:val="0"/>
          <w:sz w:val="32"/>
          <w:szCs w:val="32"/>
          <w:lang w:val="en-US" w:eastAsia="zh-CN"/>
        </w:rPr>
        <w:t>6497.64</w:t>
      </w:r>
      <w:r>
        <w:rPr>
          <w:rFonts w:hint="eastAsia" w:ascii="仿宋_GB2312" w:hAnsi="宋体" w:eastAsia="仿宋_GB2312" w:cs="宋体"/>
          <w:color w:val="000000"/>
          <w:kern w:val="0"/>
          <w:sz w:val="32"/>
          <w:szCs w:val="32"/>
        </w:rPr>
        <w:t>万元，</w:t>
      </w:r>
      <w:r>
        <w:rPr>
          <w:rFonts w:hint="eastAsia" w:ascii="仿宋_GB2312" w:hAnsi="宋体" w:eastAsia="仿宋_GB2312" w:cs="宋体"/>
          <w:color w:val="000000"/>
          <w:kern w:val="0"/>
          <w:sz w:val="32"/>
          <w:szCs w:val="32"/>
          <w:lang w:val="en-US" w:eastAsia="zh-CN"/>
        </w:rPr>
        <w:t>2024年全年预算数</w:t>
      </w:r>
      <w:r>
        <w:rPr>
          <w:rFonts w:hint="eastAsia" w:ascii="仿宋_GB2312" w:hAnsi="仿宋" w:eastAsia="仿宋_GB2312"/>
          <w:sz w:val="32"/>
          <w:szCs w:val="32"/>
          <w:highlight w:val="none"/>
          <w:u w:val="none"/>
        </w:rPr>
        <w:t>6765.01</w:t>
      </w:r>
      <w:r>
        <w:rPr>
          <w:rFonts w:hint="eastAsia" w:ascii="仿宋_GB2312" w:hAnsi="宋体" w:eastAsia="仿宋_GB2312" w:cs="宋体"/>
          <w:color w:val="000000"/>
          <w:kern w:val="0"/>
          <w:sz w:val="32"/>
          <w:szCs w:val="32"/>
          <w:lang w:val="en-US" w:eastAsia="zh-CN"/>
        </w:rPr>
        <w:t>万元，</w:t>
      </w:r>
      <w:r>
        <w:rPr>
          <w:rFonts w:hint="eastAsia" w:ascii="仿宋_GB2312" w:hAnsi="宋体" w:eastAsia="仿宋_GB2312" w:cs="宋体"/>
          <w:color w:val="000000"/>
          <w:kern w:val="0"/>
          <w:sz w:val="32"/>
          <w:szCs w:val="32"/>
          <w:lang w:eastAsia="zh-CN"/>
        </w:rPr>
        <w:t>2024</w:t>
      </w:r>
      <w:r>
        <w:rPr>
          <w:rFonts w:hint="eastAsia" w:ascii="仿宋_GB2312" w:hAnsi="宋体" w:eastAsia="仿宋_GB2312" w:cs="宋体"/>
          <w:color w:val="000000"/>
          <w:kern w:val="0"/>
          <w:sz w:val="32"/>
          <w:szCs w:val="32"/>
        </w:rPr>
        <w:t>年度支出决算数</w:t>
      </w:r>
      <w:r>
        <w:rPr>
          <w:rFonts w:hint="eastAsia" w:ascii="仿宋_GB2312" w:hAnsi="仿宋" w:eastAsia="仿宋_GB2312"/>
          <w:sz w:val="32"/>
          <w:szCs w:val="32"/>
          <w:highlight w:val="none"/>
          <w:u w:val="none"/>
        </w:rPr>
        <w:t>6765.01</w:t>
      </w:r>
      <w:r>
        <w:rPr>
          <w:rFonts w:hint="eastAsia" w:ascii="仿宋_GB2312" w:hAnsi="宋体" w:eastAsia="仿宋_GB2312" w:cs="宋体"/>
          <w:color w:val="000000"/>
          <w:kern w:val="0"/>
          <w:sz w:val="32"/>
          <w:szCs w:val="32"/>
        </w:rPr>
        <w:t>万元，预决算差异额</w:t>
      </w:r>
      <w:r>
        <w:rPr>
          <w:rFonts w:hint="eastAsia" w:ascii="仿宋_GB2312" w:hAnsi="宋体" w:eastAsia="仿宋_GB2312" w:cs="宋体"/>
          <w:color w:val="000000"/>
          <w:kern w:val="0"/>
          <w:sz w:val="32"/>
          <w:szCs w:val="32"/>
          <w:lang w:val="en-US" w:eastAsia="zh-CN"/>
        </w:rPr>
        <w:t>0</w:t>
      </w:r>
      <w:r>
        <w:rPr>
          <w:rFonts w:hint="eastAsia" w:ascii="仿宋_GB2312" w:hAnsi="宋体" w:eastAsia="仿宋_GB2312" w:cs="宋体"/>
          <w:color w:val="000000"/>
          <w:kern w:val="0"/>
          <w:sz w:val="32"/>
          <w:szCs w:val="32"/>
        </w:rPr>
        <w:t>万元，预决算差异率</w:t>
      </w:r>
      <w:r>
        <w:rPr>
          <w:rFonts w:hint="eastAsia" w:ascii="仿宋_GB2312" w:hAnsi="宋体" w:eastAsia="仿宋_GB2312" w:cs="宋体"/>
          <w:color w:val="000000"/>
          <w:kern w:val="0"/>
          <w:sz w:val="32"/>
          <w:szCs w:val="32"/>
          <w:lang w:val="en-US" w:eastAsia="zh-CN"/>
        </w:rPr>
        <w:t>0</w:t>
      </w:r>
      <w:r>
        <w:rPr>
          <w:rFonts w:hint="eastAsia" w:ascii="仿宋_GB2312" w:hAnsi="宋体" w:eastAsia="仿宋_GB2312" w:cs="宋体"/>
          <w:color w:val="000000"/>
          <w:kern w:val="0"/>
          <w:sz w:val="32"/>
          <w:szCs w:val="32"/>
        </w:rPr>
        <w:t>%。</w:t>
      </w:r>
    </w:p>
    <w:p>
      <w:pPr>
        <w:spacing w:line="600" w:lineRule="exact"/>
        <w:ind w:left="105" w:leftChars="50" w:firstLine="480" w:firstLineChars="150"/>
        <w:rPr>
          <w:rFonts w:ascii="黑体" w:hAnsi="黑体" w:eastAsia="黑体"/>
          <w:sz w:val="32"/>
          <w:szCs w:val="32"/>
        </w:rPr>
      </w:pPr>
      <w:r>
        <w:rPr>
          <w:rFonts w:hint="eastAsia" w:ascii="黑体" w:hAnsi="黑体" w:eastAsia="黑体"/>
          <w:sz w:val="32"/>
          <w:szCs w:val="32"/>
        </w:rPr>
        <w:t>五、总体</w:t>
      </w:r>
      <w:r>
        <w:rPr>
          <w:rFonts w:ascii="黑体" w:hAnsi="黑体" w:eastAsia="黑体"/>
          <w:sz w:val="32"/>
          <w:szCs w:val="32"/>
        </w:rPr>
        <w:t>评价结论</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（一）评价</w:t>
      </w:r>
      <w:r>
        <w:rPr>
          <w:rFonts w:ascii="楷体_GB2312" w:eastAsia="楷体_GB2312"/>
          <w:sz w:val="32"/>
          <w:szCs w:val="32"/>
        </w:rPr>
        <w:t>得分</w:t>
      </w:r>
      <w:r>
        <w:rPr>
          <w:rFonts w:hint="eastAsia" w:ascii="楷体_GB2312" w:eastAsia="楷体_GB2312"/>
          <w:sz w:val="32"/>
          <w:szCs w:val="32"/>
        </w:rPr>
        <w:t>情况</w:t>
      </w:r>
    </w:p>
    <w:p>
      <w:pPr>
        <w:spacing w:line="600" w:lineRule="exact"/>
        <w:ind w:left="105" w:leftChars="50" w:firstLine="480" w:firstLineChars="150"/>
        <w:rPr>
          <w:rFonts w:hint="eastAsia" w:ascii="仿宋_GB2312" w:hAnsi="宋体" w:eastAsia="仿宋_GB2312" w:cs="宋体"/>
          <w:color w:val="000000"/>
          <w:kern w:val="0"/>
          <w:sz w:val="32"/>
          <w:szCs w:val="32"/>
          <w:highlight w:val="none"/>
          <w:lang w:eastAsia="zh-CN"/>
        </w:rPr>
      </w:pPr>
      <w:r>
        <w:rPr>
          <w:rFonts w:hint="eastAsia" w:ascii="仿宋_GB2312" w:hAnsi="宋体" w:eastAsia="仿宋_GB2312" w:cs="宋体"/>
          <w:color w:val="000000"/>
          <w:kern w:val="0"/>
          <w:sz w:val="32"/>
          <w:szCs w:val="32"/>
        </w:rPr>
        <w:t>经评价，区委党校部门整体支出绩效评价综合得分</w:t>
      </w:r>
      <w:r>
        <w:rPr>
          <w:rFonts w:hint="eastAsia" w:ascii="仿宋_GB2312" w:hAnsi="宋体" w:eastAsia="仿宋_GB2312" w:cs="宋体"/>
          <w:color w:val="000000"/>
          <w:kern w:val="0"/>
          <w:sz w:val="32"/>
          <w:szCs w:val="32"/>
          <w:lang w:val="en-US" w:eastAsia="zh-CN"/>
        </w:rPr>
        <w:t>99</w:t>
      </w:r>
      <w:r>
        <w:rPr>
          <w:rFonts w:hint="eastAsia" w:ascii="仿宋_GB2312" w:hAnsi="宋体" w:eastAsia="仿宋_GB2312" w:cs="宋体"/>
          <w:color w:val="000000"/>
          <w:kern w:val="0"/>
          <w:sz w:val="32"/>
          <w:szCs w:val="32"/>
          <w:highlight w:val="none"/>
        </w:rPr>
        <w:t>分，绩效评定结论为“优秀”</w:t>
      </w:r>
      <w:r>
        <w:rPr>
          <w:rFonts w:hint="eastAsia" w:ascii="仿宋_GB2312" w:hAnsi="宋体" w:eastAsia="仿宋_GB2312" w:cs="宋体"/>
          <w:color w:val="000000"/>
          <w:kern w:val="0"/>
          <w:sz w:val="32"/>
          <w:szCs w:val="32"/>
          <w:highlight w:val="none"/>
          <w:lang w:eastAsia="zh-CN"/>
        </w:rPr>
        <w:t>。</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（二）存在的问题及原因分析</w:t>
      </w:r>
    </w:p>
    <w:p>
      <w:pPr>
        <w:spacing w:line="600" w:lineRule="exact"/>
        <w:ind w:left="105" w:leftChars="50" w:firstLine="480" w:firstLineChars="15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1.</w:t>
      </w:r>
      <w:r>
        <w:rPr>
          <w:rFonts w:hint="eastAsia" w:ascii="仿宋_GB2312" w:hAnsi="宋体" w:eastAsia="仿宋_GB2312" w:cs="宋体"/>
          <w:color w:val="000000"/>
          <w:kern w:val="0"/>
          <w:sz w:val="32"/>
          <w:szCs w:val="32"/>
        </w:rPr>
        <w:t>部门整体绩效指标设定较为宽泛，多为定性描述，量化不充分，不便于部门整体绩效的量化考核。</w:t>
      </w:r>
    </w:p>
    <w:p>
      <w:pPr>
        <w:spacing w:line="600" w:lineRule="exact"/>
        <w:ind w:left="105" w:leftChars="50" w:firstLine="480" w:firstLineChars="150"/>
        <w:rPr>
          <w:rFonts w:hint="default"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2.个别项目年度指标值设置不合理，导致实际完成值与年度指标值不一致。</w:t>
      </w:r>
    </w:p>
    <w:p>
      <w:pPr>
        <w:spacing w:line="600" w:lineRule="exact"/>
        <w:ind w:firstLine="640" w:firstLineChars="200"/>
        <w:rPr>
          <w:rFonts w:ascii="黑体" w:hAnsi="黑体" w:eastAsia="黑体" w:cs="宋体"/>
          <w:color w:val="000000"/>
          <w:kern w:val="0"/>
          <w:sz w:val="32"/>
          <w:szCs w:val="32"/>
        </w:rPr>
      </w:pPr>
      <w:r>
        <w:rPr>
          <w:rFonts w:hint="eastAsia" w:ascii="黑体" w:hAnsi="黑体" w:eastAsia="黑体" w:cs="宋体"/>
          <w:color w:val="000000"/>
          <w:kern w:val="0"/>
          <w:sz w:val="32"/>
          <w:szCs w:val="32"/>
        </w:rPr>
        <w:t>六、措施建议</w:t>
      </w:r>
    </w:p>
    <w:p>
      <w:pPr>
        <w:spacing w:line="600" w:lineRule="exact"/>
        <w:ind w:left="105" w:leftChars="50" w:firstLine="480" w:firstLineChars="150"/>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进一步优化部门整体绩效目标。按照全面实施预算绩效管理相关要求，对本单位工作职责进行全面梳理，设定部门整体绩效目标，以定量指标为主，定性指标为辅，以科学合理的目标要求，推动工作有效落实，充分发挥部门整体绩效目标的引导作用。</w:t>
      </w:r>
    </w:p>
    <w:p>
      <w:pPr>
        <w:spacing w:line="600" w:lineRule="exact"/>
        <w:ind w:left="105" w:leftChars="50" w:firstLine="480" w:firstLineChars="150"/>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加强绩效考核。围绕绩效考核目标任务，层层分解落实，明确责任领导和责任部门及责任人，强化责任意识，使每位教职工对自己的目标任务了然于胸，从而增强工作的主动性和积极性，使考核目标中涉及到的每一项任务都落到实处。</w:t>
      </w:r>
    </w:p>
    <w:p/>
    <w:p>
      <w:pPr>
        <w:spacing w:line="600" w:lineRule="exact"/>
        <w:ind w:left="105" w:leftChars="50" w:firstLine="480" w:firstLineChars="150"/>
        <w:jc w:val="right"/>
        <w:rPr>
          <w:rFonts w:hint="eastAsia" w:ascii="仿宋_GB2312" w:hAnsi="宋体" w:eastAsia="仿宋_GB2312" w:cs="宋体"/>
          <w:color w:val="000000"/>
          <w:kern w:val="0"/>
          <w:sz w:val="32"/>
          <w:szCs w:val="32"/>
          <w:lang w:val="en-US" w:eastAsia="zh-CN"/>
        </w:rPr>
      </w:pPr>
    </w:p>
    <w:p>
      <w:pPr>
        <w:spacing w:line="600" w:lineRule="exact"/>
        <w:ind w:left="105" w:leftChars="50" w:firstLine="480" w:firstLineChars="150"/>
        <w:jc w:val="right"/>
        <w:rPr>
          <w:rFonts w:hint="eastAsia" w:ascii="仿宋_GB2312" w:hAnsi="宋体" w:eastAsia="仿宋_GB2312" w:cs="宋体"/>
          <w:color w:val="000000"/>
          <w:kern w:val="0"/>
          <w:sz w:val="32"/>
          <w:szCs w:val="32"/>
          <w:lang w:val="en-US" w:eastAsia="zh-CN"/>
        </w:rPr>
      </w:pPr>
    </w:p>
    <w:p>
      <w:pPr>
        <w:spacing w:line="600" w:lineRule="exact"/>
        <w:ind w:left="105" w:leftChars="50" w:firstLine="480" w:firstLineChars="150"/>
        <w:jc w:val="right"/>
        <w:rPr>
          <w:rFonts w:hint="eastAsia" w:ascii="仿宋_GB2312" w:hAnsi="宋体" w:eastAsia="仿宋_GB2312" w:cs="宋体"/>
          <w:color w:val="000000"/>
          <w:kern w:val="0"/>
          <w:sz w:val="32"/>
          <w:szCs w:val="32"/>
          <w:lang w:val="en-US" w:eastAsia="zh-CN"/>
        </w:rPr>
      </w:pPr>
    </w:p>
    <w:p>
      <w:pPr>
        <w:spacing w:line="600" w:lineRule="exact"/>
        <w:ind w:left="105" w:leftChars="50" w:firstLine="480" w:firstLineChars="150"/>
        <w:jc w:val="right"/>
        <w:rPr>
          <w:rFonts w:hint="eastAsia" w:ascii="仿宋_GB2312" w:hAnsi="宋体" w:eastAsia="仿宋_GB2312" w:cs="宋体"/>
          <w:color w:val="000000"/>
          <w:kern w:val="0"/>
          <w:sz w:val="32"/>
          <w:szCs w:val="32"/>
          <w:lang w:val="en-US" w:eastAsia="zh-CN"/>
        </w:rPr>
      </w:pPr>
    </w:p>
    <w:p>
      <w:pPr>
        <w:spacing w:line="600" w:lineRule="exact"/>
        <w:ind w:left="105" w:leftChars="50" w:firstLine="480" w:firstLineChars="150"/>
        <w:jc w:val="right"/>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中共北京市朝阳区委党校</w:t>
      </w:r>
    </w:p>
    <w:p>
      <w:pPr>
        <w:spacing w:line="600" w:lineRule="exact"/>
        <w:ind w:left="105" w:leftChars="50" w:firstLine="480" w:firstLineChars="150"/>
        <w:jc w:val="right"/>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2025年2月17日</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rPr>
                      <w:fldChar w:fldCharType="end"/>
                    </w:r>
                  </w:p>
                </w:txbxContent>
              </v:textbox>
            </v:shape>
          </w:pict>
        </mc:Fallback>
      </mc:AlternateContent>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JjOTQxYzhjODMyMDAzZmE0MDJkMWFkNmJlNDkwYTUifQ=="/>
    <w:docVar w:name="KSO_WPS_MARK_KEY" w:val="c076364c-2055-4331-9d2c-c50be8d2781f"/>
  </w:docVars>
  <w:rsids>
    <w:rsidRoot w:val="5B1D39DF"/>
    <w:rsid w:val="001C7834"/>
    <w:rsid w:val="0023434C"/>
    <w:rsid w:val="00465181"/>
    <w:rsid w:val="0057202C"/>
    <w:rsid w:val="005E3946"/>
    <w:rsid w:val="0060746B"/>
    <w:rsid w:val="00826643"/>
    <w:rsid w:val="00954F6E"/>
    <w:rsid w:val="00B03B70"/>
    <w:rsid w:val="00CF07EE"/>
    <w:rsid w:val="00E617B2"/>
    <w:rsid w:val="00F42C33"/>
    <w:rsid w:val="074D4553"/>
    <w:rsid w:val="0C755658"/>
    <w:rsid w:val="14371CCE"/>
    <w:rsid w:val="4E3C7099"/>
    <w:rsid w:val="540D04B7"/>
    <w:rsid w:val="5B1D39DF"/>
    <w:rsid w:val="5C496E5C"/>
    <w:rsid w:val="6E0E5CF7"/>
    <w:rsid w:val="754466AF"/>
    <w:rsid w:val="76BA243C"/>
    <w:rsid w:val="7DAD0B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8"/>
    <w:unhideWhenUsed/>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20"/>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5"/>
    <w:link w:val="4"/>
    <w:qFormat/>
    <w:uiPriority w:val="0"/>
    <w:rPr>
      <w:rFonts w:ascii="Times New Roman" w:hAnsi="Times New Roman" w:eastAsia="宋体" w:cs="Times New Roman"/>
      <w:kern w:val="2"/>
      <w:sz w:val="18"/>
      <w:szCs w:val="18"/>
    </w:rPr>
  </w:style>
  <w:style w:type="character" w:customStyle="1" w:styleId="8">
    <w:name w:val="批注框文本 字符"/>
    <w:basedOn w:val="5"/>
    <w:link w:val="2"/>
    <w:semiHidden/>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2690</Words>
  <Characters>2797</Characters>
  <Lines>3</Lines>
  <Paragraphs>1</Paragraphs>
  <ScaleCrop>false</ScaleCrop>
  <LinksUpToDate>false</LinksUpToDate>
  <CharactersWithSpaces>2797</CharactersWithSpaces>
  <Application>WPS Office_10.8.0.6308_F1E327BC-269C-435d-A152-05C5408002CA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2024-01-18T03:00:00Z</dcterms:created>
  <dc:creator>Administrator</dc:creator>
  <cp:lastModifiedBy>USER</cp:lastModifiedBy>
  <cp:lastPrinted>2024-02-27T01:50:00Z</cp:lastPrinted>
  <dcterms:modified xsi:type="dcterms:W3CDTF">2025-08-29T01:02:38Z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y fmtid="{D5CDD505-2E9C-101B-9397-08002B2CF9AE}" pid="3" name="ICV">
    <vt:lpwstr>D0433422171240BB948B041F2C56B5A3_12</vt:lpwstr>
  </property>
</Properties>
</file>